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1F" w:rsidRDefault="00216D1F" w:rsidP="00216D1F">
      <w:pPr>
        <w:spacing w:line="520" w:lineRule="exact"/>
        <w:jc w:val="center"/>
        <w:rPr>
          <w:rFonts w:ascii="方正小标宋简体" w:eastAsia="方正小标宋简体" w:hAnsi="宋体" w:cs="方正小标宋简体"/>
          <w:b w:val="0"/>
          <w:sz w:val="36"/>
          <w:szCs w:val="32"/>
        </w:rPr>
      </w:pPr>
    </w:p>
    <w:p w:rsidR="00216D1F" w:rsidRPr="00965929" w:rsidRDefault="00216D1F" w:rsidP="00216D1F">
      <w:pPr>
        <w:spacing w:line="520" w:lineRule="exact"/>
        <w:jc w:val="center"/>
        <w:rPr>
          <w:rFonts w:ascii="方正小标宋简体" w:eastAsia="方正小标宋简体" w:hAnsi="宋体"/>
          <w:b w:val="0"/>
          <w:sz w:val="36"/>
          <w:szCs w:val="32"/>
        </w:rPr>
      </w:pPr>
      <w:r w:rsidRPr="00965929">
        <w:rPr>
          <w:rFonts w:ascii="方正小标宋简体" w:eastAsia="方正小标宋简体" w:hAnsi="宋体" w:cs="方正小标宋简体" w:hint="eastAsia"/>
          <w:b w:val="0"/>
          <w:sz w:val="36"/>
          <w:szCs w:val="32"/>
        </w:rPr>
        <w:t>电动巡逻车主要性能指标要求</w:t>
      </w: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2700"/>
        <w:gridCol w:w="3879"/>
      </w:tblGrid>
      <w:tr w:rsidR="00216D1F" w:rsidRPr="00965929" w:rsidTr="005C1C13">
        <w:trPr>
          <w:tblHeader/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ascii="黑体" w:eastAsia="黑体" w:hAnsi="黑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ascii="黑体" w:eastAsia="黑体" w:hAnsi="黑体" w:cs="宋体" w:hint="eastAsia"/>
                <w:b w:val="0"/>
                <w:kern w:val="0"/>
                <w:sz w:val="28"/>
                <w:szCs w:val="21"/>
              </w:rPr>
              <w:t>序号</w:t>
            </w:r>
          </w:p>
        </w:tc>
        <w:tc>
          <w:tcPr>
            <w:tcW w:w="2700" w:type="dxa"/>
            <w:noWrap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ascii="黑体" w:eastAsia="黑体" w:hAnsi="黑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ascii="黑体" w:eastAsia="黑体" w:hAnsi="黑体" w:cs="宋体" w:hint="eastAsia"/>
                <w:b w:val="0"/>
                <w:kern w:val="0"/>
                <w:sz w:val="28"/>
                <w:szCs w:val="21"/>
              </w:rPr>
              <w:t>项目</w:t>
            </w:r>
          </w:p>
        </w:tc>
        <w:tc>
          <w:tcPr>
            <w:tcW w:w="3879" w:type="dxa"/>
            <w:vAlign w:val="center"/>
            <w:hideMark/>
          </w:tcPr>
          <w:p w:rsidR="00216D1F" w:rsidRPr="00965929" w:rsidRDefault="00216D1F" w:rsidP="005C1C13">
            <w:pPr>
              <w:spacing w:line="580" w:lineRule="exact"/>
              <w:jc w:val="center"/>
              <w:rPr>
                <w:rFonts w:ascii="黑体" w:eastAsia="黑体" w:hAnsi="黑体" w:cs="宋体"/>
                <w:b w:val="0"/>
                <w:sz w:val="28"/>
                <w:szCs w:val="21"/>
              </w:rPr>
            </w:pPr>
            <w:r w:rsidRPr="00965929">
              <w:rPr>
                <w:rFonts w:ascii="黑体" w:eastAsia="黑体" w:hAnsi="黑体" w:cs="宋体" w:hint="eastAsia"/>
                <w:b w:val="0"/>
                <w:sz w:val="28"/>
                <w:szCs w:val="21"/>
              </w:rPr>
              <w:t>指标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1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额定载客人数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8人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2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一次充电续使里程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不小于80km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3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外形尺寸mm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参照3970X1500X2000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4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最小离地间隙mm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大于135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5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整车装备质量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不超过900 Kg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6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int="eastAsia"/>
                <w:b w:val="0"/>
                <w:sz w:val="28"/>
                <w:szCs w:val="18"/>
              </w:rPr>
              <w:t>电池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48V180AH以上</w:t>
            </w:r>
          </w:p>
        </w:tc>
      </w:tr>
      <w:tr w:rsidR="00216D1F" w:rsidRPr="00965929" w:rsidTr="005C1C13">
        <w:trPr>
          <w:trHeight w:val="752"/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7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轮胎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145/70R12以上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8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电机额定功率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3KW以上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9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充电时间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10小时以内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10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最大爬坡度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687EA5">
              <w:rPr>
                <w:rFonts w:hAnsi="宋体" w:cs="宋体" w:hint="eastAsia"/>
                <w:b w:val="0"/>
                <w:sz w:val="28"/>
                <w:szCs w:val="18"/>
              </w:rPr>
              <w:t>不小于36%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11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最高车速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不小于30km/h</w:t>
            </w:r>
          </w:p>
        </w:tc>
      </w:tr>
      <w:tr w:rsidR="00216D1F" w:rsidRPr="00965929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12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探照灯（车顶加装）探照距离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5C1C13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不小于100m</w:t>
            </w:r>
          </w:p>
        </w:tc>
      </w:tr>
      <w:tr w:rsidR="00216D1F" w:rsidRPr="00FA6EDB" w:rsidTr="005C1C13">
        <w:trPr>
          <w:jc w:val="center"/>
        </w:trPr>
        <w:tc>
          <w:tcPr>
            <w:tcW w:w="1011" w:type="dxa"/>
            <w:vAlign w:val="center"/>
            <w:hideMark/>
          </w:tcPr>
          <w:p w:rsidR="00216D1F" w:rsidRPr="00965929" w:rsidRDefault="00216D1F" w:rsidP="005C1C13">
            <w:pPr>
              <w:widowControl/>
              <w:spacing w:line="580" w:lineRule="exact"/>
              <w:jc w:val="center"/>
              <w:rPr>
                <w:rFonts w:hAnsi="宋体" w:cs="宋体"/>
                <w:b w:val="0"/>
                <w:kern w:val="0"/>
                <w:sz w:val="28"/>
                <w:szCs w:val="21"/>
              </w:rPr>
            </w:pPr>
            <w:r w:rsidRPr="00965929">
              <w:rPr>
                <w:rFonts w:hAnsi="宋体" w:cs="宋体" w:hint="eastAsia"/>
                <w:b w:val="0"/>
                <w:kern w:val="0"/>
                <w:sz w:val="28"/>
                <w:szCs w:val="21"/>
              </w:rPr>
              <w:t>13</w:t>
            </w:r>
          </w:p>
        </w:tc>
        <w:tc>
          <w:tcPr>
            <w:tcW w:w="2700" w:type="dxa"/>
            <w:noWrap/>
            <w:vAlign w:val="center"/>
          </w:tcPr>
          <w:p w:rsidR="00216D1F" w:rsidRPr="00965929" w:rsidRDefault="00216D1F" w:rsidP="005C1C13">
            <w:pPr>
              <w:jc w:val="left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售后服务</w:t>
            </w:r>
          </w:p>
        </w:tc>
        <w:tc>
          <w:tcPr>
            <w:tcW w:w="3879" w:type="dxa"/>
            <w:vAlign w:val="center"/>
          </w:tcPr>
          <w:p w:rsidR="00216D1F" w:rsidRPr="00965929" w:rsidRDefault="00216D1F" w:rsidP="00FA6EDB">
            <w:pPr>
              <w:jc w:val="center"/>
              <w:rPr>
                <w:rFonts w:hAnsi="宋体" w:cs="宋体"/>
                <w:b w:val="0"/>
                <w:sz w:val="28"/>
                <w:szCs w:val="18"/>
              </w:rPr>
            </w:pPr>
            <w:r w:rsidRPr="00965929">
              <w:rPr>
                <w:rFonts w:hAnsi="宋体" w:cs="宋体" w:hint="eastAsia"/>
                <w:b w:val="0"/>
                <w:sz w:val="28"/>
                <w:szCs w:val="18"/>
              </w:rPr>
              <w:t>整车质保期不低于一年</w:t>
            </w:r>
          </w:p>
        </w:tc>
      </w:tr>
    </w:tbl>
    <w:p w:rsidR="006E7497" w:rsidRPr="00216D1F" w:rsidRDefault="006E7497"/>
    <w:sectPr w:rsidR="006E7497" w:rsidRPr="00216D1F" w:rsidSect="00635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79" w:rsidRDefault="00E41879" w:rsidP="00216D1F">
      <w:r>
        <w:separator/>
      </w:r>
    </w:p>
  </w:endnote>
  <w:endnote w:type="continuationSeparator" w:id="1">
    <w:p w:rsidR="00E41879" w:rsidRDefault="00E41879" w:rsidP="00216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79" w:rsidRDefault="00E41879" w:rsidP="00216D1F">
      <w:r>
        <w:separator/>
      </w:r>
    </w:p>
  </w:footnote>
  <w:footnote w:type="continuationSeparator" w:id="1">
    <w:p w:rsidR="00E41879" w:rsidRDefault="00E41879" w:rsidP="00216D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6D1F"/>
    <w:rsid w:val="00216D1F"/>
    <w:rsid w:val="006359B5"/>
    <w:rsid w:val="006E7497"/>
    <w:rsid w:val="00E41879"/>
    <w:rsid w:val="00FA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1F"/>
    <w:pPr>
      <w:widowControl w:val="0"/>
      <w:jc w:val="both"/>
    </w:pPr>
    <w:rPr>
      <w:rFonts w:ascii="仿宋_GB2312" w:eastAsia="仿宋_GB2312" w:hAnsi="Times New Roman" w:cs="Times New Roman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6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6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6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6D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2017-12-05T11:54:00Z</cp:lastPrinted>
  <dcterms:created xsi:type="dcterms:W3CDTF">2017-12-05T00:58:00Z</dcterms:created>
  <dcterms:modified xsi:type="dcterms:W3CDTF">2017-12-05T11:54:00Z</dcterms:modified>
</cp:coreProperties>
</file>