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afterLines="50"/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  <w:lang w:eastAsia="zh-CN"/>
        </w:rPr>
        <w:t>耳鼻</w:t>
      </w:r>
      <w:r>
        <w:rPr>
          <w:rFonts w:ascii="黑体" w:eastAsia="黑体" w:hAnsi="宋体" w:hint="eastAsia"/>
          <w:b/>
          <w:sz w:val="36"/>
          <w:szCs w:val="36"/>
          <w:lang w:eastAsia="zh-CN"/>
        </w:rPr>
        <w:t>咽</w:t>
      </w:r>
      <w:r>
        <w:rPr>
          <w:rFonts w:ascii="黑体" w:eastAsia="黑体" w:hAnsi="宋体" w:hint="eastAsia"/>
          <w:b/>
          <w:sz w:val="36"/>
          <w:szCs w:val="36"/>
          <w:lang w:eastAsia="zh-CN"/>
        </w:rPr>
        <w:t>喉头颈外</w:t>
      </w:r>
      <w:r>
        <w:rPr>
          <w:rFonts w:ascii="黑体" w:eastAsia="黑体" w:hAnsi="宋体" w:hint="eastAsia"/>
          <w:b/>
          <w:sz w:val="36"/>
          <w:szCs w:val="36"/>
        </w:rPr>
        <w:t>科“</w:t>
      </w:r>
      <w:r>
        <w:rPr>
          <w:rFonts w:ascii="黑体" w:eastAsia="黑体" w:hAnsi="宋体" w:hint="eastAsia"/>
          <w:b/>
          <w:sz w:val="36"/>
          <w:szCs w:val="36"/>
          <w:lang w:eastAsia="zh-CN"/>
        </w:rPr>
        <w:t>鼻窦内窥镜</w:t>
      </w:r>
      <w:r>
        <w:rPr>
          <w:rFonts w:ascii="黑体" w:eastAsia="黑体" w:hAnsi="宋体" w:hint="eastAsia"/>
          <w:b/>
          <w:sz w:val="36"/>
          <w:szCs w:val="36"/>
        </w:rPr>
        <w:t>”招标需求表</w:t>
      </w:r>
    </w:p>
    <w:tbl>
      <w:tblPr>
        <w:tblStyle w:val="style105"/>
        <w:tblW w:w="9668" w:type="dxa"/>
        <w:jc w:val="center"/>
        <w:tblInd w:w="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5107"/>
        <w:gridCol w:w="2201"/>
      </w:tblGrid>
      <w:tr>
        <w:trPr>
          <w:trHeight w:val="464" w:hRule="atLeast"/>
          <w:jc w:val="center"/>
        </w:trPr>
        <w:tc>
          <w:tcPr>
            <w:tcW w:w="2360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华文中宋" w:hAnsi="宋体"/>
                <w:b/>
                <w:bCs/>
                <w:szCs w:val="28"/>
              </w:rPr>
            </w:pPr>
            <w:r>
              <w:rPr>
                <w:rFonts w:ascii="宋体" w:cs="华文中宋" w:hAnsi="宋体" w:hint="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tcBorders/>
            <w:vAlign w:val="center"/>
          </w:tcPr>
          <w:p>
            <w:pPr>
              <w:pStyle w:val="style0"/>
              <w:spacing w:lineRule="exact" w:line="320"/>
              <w:jc w:val="left"/>
              <w:rPr>
                <w:rFonts w:ascii="华文中宋" w:cs="华文中宋" w:eastAsia="华文中宋" w:hAnsi="华文中宋"/>
                <w:bCs/>
                <w:sz w:val="24"/>
                <w:szCs w:val="24"/>
              </w:rPr>
            </w:pPr>
            <w:r>
              <w:rPr>
                <w:rFonts w:ascii="宋体" w:eastAsia="宋体" w:hAnsi="宋体" w:hint="default"/>
                <w:sz w:val="21"/>
                <w:szCs w:val="21"/>
              </w:rPr>
              <w:t>为了临床手术治疗需要，符合一人一镜的感控基本原则，</w:t>
            </w:r>
            <w:r>
              <w:rPr>
                <w:rFonts w:ascii="宋体" w:eastAsia="宋体" w:hAnsi="宋体" w:hint="default"/>
                <w:sz w:val="21"/>
                <w:szCs w:val="21"/>
              </w:rPr>
              <w:t>高温高压的消毒要求，</w:t>
            </w:r>
            <w:r>
              <w:rPr>
                <w:rFonts w:ascii="宋体" w:eastAsia="宋体" w:hAnsi="宋体" w:hint="default"/>
                <w:sz w:val="21"/>
                <w:szCs w:val="21"/>
              </w:rPr>
              <w:t>并能够有效降低手术器械成本有进口的内窥镜硬镜改为国产镜头，且能够可以与科室现有进口内窥镜摄像系统匹配使用</w:t>
            </w:r>
          </w:p>
        </w:tc>
      </w:tr>
      <w:tr>
        <w:tblPrEx/>
        <w:trPr>
          <w:trHeight w:val="464" w:hRule="atLeast"/>
          <w:jc w:val="center"/>
        </w:trPr>
        <w:tc>
          <w:tcPr>
            <w:tcW w:w="2360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华文中宋" w:hAnsi="宋体"/>
                <w:b/>
                <w:bCs/>
                <w:szCs w:val="28"/>
              </w:rPr>
            </w:pPr>
            <w:r>
              <w:rPr>
                <w:rFonts w:ascii="宋体" w:cs="华文中宋" w:hAnsi="宋体" w:hint="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tcBorders/>
            <w:vAlign w:val="center"/>
          </w:tcPr>
          <w:p>
            <w:pPr>
              <w:pStyle w:val="style0"/>
              <w:spacing w:lineRule="exact" w:line="32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住院部</w:t>
            </w:r>
            <w:r>
              <w:rPr>
                <w:rFonts w:ascii="宋体" w:hAnsi="宋体" w:hint="eastAsia"/>
                <w:sz w:val="24"/>
                <w:szCs w:val="24"/>
              </w:rPr>
              <w:t>A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区7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楼耳鼻咽喉头颈外科</w:t>
            </w:r>
          </w:p>
        </w:tc>
      </w:tr>
      <w:tr>
        <w:tblPrEx/>
        <w:trPr>
          <w:trHeight w:val="464" w:hRule="atLeast"/>
          <w:jc w:val="center"/>
        </w:trPr>
        <w:tc>
          <w:tcPr>
            <w:tcW w:w="2360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华文中宋" w:hAnsi="宋体"/>
                <w:b/>
                <w:bCs/>
                <w:szCs w:val="28"/>
              </w:rPr>
            </w:pPr>
            <w:r>
              <w:rPr>
                <w:rFonts w:ascii="宋体" w:cs="华文中宋" w:hAnsi="宋体" w:hint="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tcBorders/>
            <w:vAlign w:val="center"/>
          </w:tcPr>
          <w:p>
            <w:pPr>
              <w:pStyle w:val="style0"/>
              <w:spacing w:lineRule="exact" w:line="32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无</w:t>
            </w:r>
          </w:p>
        </w:tc>
      </w:tr>
      <w:tr>
        <w:tblPrEx/>
        <w:trPr>
          <w:jc w:val="center"/>
        </w:trPr>
        <w:tc>
          <w:tcPr>
            <w:tcW w:w="9668" w:type="dxa"/>
            <w:gridSpan w:val="3"/>
            <w:tcBorders/>
            <w:vAlign w:val="center"/>
          </w:tcPr>
          <w:p>
            <w:pPr>
              <w:pStyle w:val="style0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>
              <w:rPr>
                <w:rFonts w:ascii="宋体" w:cs="华文中宋" w:hAnsi="宋体" w:hint="eastAsia"/>
                <w:b/>
                <w:bCs/>
                <w:szCs w:val="28"/>
              </w:rPr>
              <w:t>技术参数要求</w:t>
            </w:r>
          </w:p>
        </w:tc>
      </w:tr>
      <w:tr>
        <w:tblPrEx/>
        <w:trPr>
          <w:trHeight w:val="449" w:hRule="atLeast"/>
          <w:jc w:val="center"/>
        </w:trPr>
        <w:tc>
          <w:tcPr>
            <w:tcW w:w="2360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华文中宋" w:hAnsi="宋体"/>
                <w:b/>
                <w:bCs/>
                <w:szCs w:val="28"/>
              </w:rPr>
            </w:pPr>
            <w:r>
              <w:rPr>
                <w:rFonts w:ascii="宋体" w:cs="华文中宋" w:hAnsi="宋体" w:hint="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宋体" w:cs="华文中宋" w:hAnsi="宋体"/>
                <w:b/>
                <w:bCs/>
                <w:szCs w:val="28"/>
              </w:rPr>
            </w:pPr>
            <w:r>
              <w:rPr>
                <w:rFonts w:ascii="宋体" w:cs="华文中宋" w:hAnsi="宋体" w:hint="eastAsia"/>
                <w:b/>
                <w:bCs/>
                <w:szCs w:val="28"/>
              </w:rPr>
              <w:t>具体性能与参数要求</w:t>
            </w:r>
          </w:p>
        </w:tc>
      </w:tr>
      <w:tr>
        <w:tblPrEx/>
        <w:trPr>
          <w:jc w:val="center"/>
        </w:trPr>
        <w:tc>
          <w:tcPr>
            <w:tcW w:w="2360" w:type="dxa"/>
            <w:tcBorders/>
            <w:vAlign w:val="center"/>
          </w:tcPr>
          <w:p>
            <w:pPr>
              <w:pStyle w:val="style0"/>
              <w:spacing w:lineRule="exact" w:line="320"/>
              <w:jc w:val="left"/>
              <w:rPr>
                <w:rFonts w:ascii="宋体" w:cs="华文中宋" w:hAnsi="宋体"/>
                <w:b/>
                <w:bCs/>
                <w:szCs w:val="28"/>
              </w:rPr>
            </w:pPr>
            <w:r>
              <w:rPr>
                <w:rFonts w:ascii="宋体" w:cs="华文中宋" w:hAnsi="宋体" w:hint="eastAsia"/>
                <w:b/>
                <w:bCs/>
                <w:szCs w:val="28"/>
                <w:lang w:eastAsia="zh-CN"/>
              </w:rPr>
              <w:t>鼻窦内窥镜</w:t>
            </w:r>
          </w:p>
        </w:tc>
        <w:tc>
          <w:tcPr>
            <w:tcW w:w="7308" w:type="dxa"/>
            <w:gridSpan w:val="2"/>
            <w:tcBorders/>
            <w:vAlign w:val="center"/>
          </w:tcPr>
          <w:p>
            <w:pPr>
              <w:pStyle w:val="style0"/>
              <w:widowControl/>
              <w:spacing w:lineRule="exact" w:line="320"/>
              <w:jc w:val="left"/>
              <w:rPr>
                <w:rFonts w:ascii="宋体" w:cs="Arial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default"/>
                <w:kern w:val="0"/>
                <w:sz w:val="15"/>
                <w:szCs w:val="15"/>
              </w:rPr>
              <w:t>体外径：4</w:t>
            </w:r>
            <w:r>
              <w:rPr>
                <w:rFonts w:ascii="宋体" w:cs="宋体" w:eastAsia="宋体" w:hAnsi="宋体" w:hint="default"/>
                <w:kern w:val="0"/>
                <w:sz w:val="15"/>
                <w:szCs w:val="15"/>
                <w:lang w:val="en-US"/>
              </w:rPr>
              <w:t>mm</w:t>
            </w:r>
            <w:r>
              <w:rPr>
                <w:rFonts w:ascii="宋体" w:cs="宋体" w:eastAsia="宋体" w:hAnsi="宋体" w:hint="default"/>
                <w:kern w:val="0"/>
                <w:sz w:val="15"/>
                <w:szCs w:val="15"/>
              </w:rPr>
              <w:t>，</w:t>
            </w:r>
            <w:r>
              <w:rPr>
                <w:rFonts w:ascii="宋体" w:cs="宋体" w:eastAsia="宋体" w:hAnsi="宋体" w:hint="default"/>
                <w:kern w:val="0"/>
                <w:sz w:val="15"/>
                <w:szCs w:val="15"/>
              </w:rPr>
              <w:t>视场角：90</w:t>
            </w:r>
            <w:r>
              <w:rPr>
                <w:rFonts w:ascii="宋体" w:cs="宋体" w:eastAsia="宋体" w:hAnsi="宋体" w:hint="default"/>
                <w:kern w:val="0"/>
                <w:sz w:val="15"/>
                <w:szCs w:val="15"/>
                <w:lang w:val="en-US"/>
              </w:rPr>
              <w:t>°</w:t>
            </w:r>
            <w:r>
              <w:rPr>
                <w:rFonts w:ascii="宋体" w:cs="宋体" w:eastAsia="宋体" w:hAnsi="宋体"/>
                <w:kern w:val="0"/>
                <w:sz w:val="15"/>
                <w:szCs w:val="15"/>
              </w:rPr>
              <w:br/>
            </w:r>
            <w:r>
              <w:rPr>
                <w:rFonts w:ascii="宋体" w:cs="宋体" w:eastAsia="宋体" w:hAnsi="宋体" w:hint="default"/>
                <w:kern w:val="0"/>
                <w:sz w:val="15"/>
                <w:szCs w:val="15"/>
              </w:rPr>
              <w:t>视向角：0</w:t>
            </w:r>
            <w:r>
              <w:rPr>
                <w:rFonts w:ascii="宋体" w:cs="宋体" w:eastAsia="宋体" w:hAnsi="宋体" w:hint="default"/>
                <w:kern w:val="0"/>
                <w:sz w:val="15"/>
                <w:szCs w:val="15"/>
                <w:lang w:val="en-US"/>
              </w:rPr>
              <w:t>°</w:t>
            </w:r>
            <w:r>
              <w:rPr>
                <w:rFonts w:ascii="宋体" w:cs="宋体" w:eastAsia="宋体" w:hAnsi="宋体"/>
                <w:kern w:val="0"/>
                <w:sz w:val="15"/>
                <w:szCs w:val="15"/>
              </w:rPr>
              <w:br/>
            </w:r>
            <w:r>
              <w:rPr>
                <w:rFonts w:ascii="宋体" w:cs="宋体" w:eastAsia="宋体" w:hAnsi="宋体" w:hint="default"/>
                <w:kern w:val="0"/>
                <w:sz w:val="15"/>
                <w:szCs w:val="15"/>
              </w:rPr>
              <w:t>放大倍率：≥1</w:t>
            </w:r>
            <w:r>
              <w:rPr>
                <w:rFonts w:ascii="宋体" w:cs="宋体" w:eastAsia="宋体" w:hAnsi="宋体" w:hint="default"/>
                <w:kern w:val="0"/>
                <w:sz w:val="15"/>
                <w:szCs w:val="15"/>
              </w:rPr>
              <w:t>，</w:t>
            </w:r>
            <w:r>
              <w:rPr>
                <w:rFonts w:ascii="宋体" w:cs="宋体" w:eastAsia="宋体" w:hAnsi="宋体" w:hint="default"/>
                <w:kern w:val="0"/>
                <w:sz w:val="15"/>
                <w:szCs w:val="15"/>
              </w:rPr>
              <w:t>分辨率：≥9.92Lp/mm</w:t>
            </w:r>
            <w:r>
              <w:rPr>
                <w:rFonts w:ascii="宋体" w:cs="宋体" w:eastAsia="宋体" w:hAnsi="宋体"/>
                <w:kern w:val="0"/>
                <w:sz w:val="15"/>
                <w:szCs w:val="15"/>
              </w:rPr>
              <w:br/>
            </w:r>
            <w:r>
              <w:rPr>
                <w:rFonts w:ascii="宋体" w:cs="宋体" w:eastAsia="宋体" w:hAnsi="宋体" w:hint="default"/>
                <w:kern w:val="0"/>
                <w:sz w:val="15"/>
                <w:szCs w:val="15"/>
              </w:rPr>
              <w:t>照度</w:t>
            </w:r>
            <w:r>
              <w:rPr>
                <w:rFonts w:ascii="宋体" w:cs="宋体" w:eastAsia="宋体" w:hAnsi="宋体" w:hint="default"/>
                <w:kern w:val="0"/>
                <w:sz w:val="15"/>
                <w:szCs w:val="15"/>
              </w:rPr>
              <w:t xml:space="preserve">：≥10000Lx     </w:t>
            </w:r>
            <w:r>
              <w:rPr>
                <w:rFonts w:ascii="宋体" w:cs="宋体" w:eastAsia="宋体" w:hAnsi="宋体"/>
                <w:kern w:val="0"/>
                <w:sz w:val="15"/>
                <w:szCs w:val="15"/>
              </w:rPr>
              <w:br/>
            </w:r>
            <w:r>
              <w:rPr>
                <w:rFonts w:ascii="宋体" w:cs="宋体" w:eastAsia="宋体" w:hAnsi="宋体" w:hint="default"/>
                <w:kern w:val="0"/>
                <w:sz w:val="15"/>
                <w:szCs w:val="15"/>
              </w:rPr>
              <w:t>可清晰观察范围：1～50mm</w:t>
            </w:r>
            <w:r>
              <w:rPr>
                <w:rFonts w:ascii="宋体" w:cs="宋体" w:eastAsia="宋体" w:hAnsi="宋体"/>
                <w:kern w:val="0"/>
                <w:sz w:val="15"/>
                <w:szCs w:val="15"/>
              </w:rPr>
              <w:br/>
            </w:r>
            <w:r>
              <w:rPr>
                <w:rFonts w:ascii="宋体" w:cs="宋体" w:eastAsia="宋体" w:hAnsi="宋体" w:hint="default"/>
                <w:kern w:val="0"/>
                <w:sz w:val="15"/>
                <w:szCs w:val="15"/>
              </w:rPr>
              <w:t>注：放大倍率、分辨率、照度的工作距离均为</w:t>
            </w:r>
            <w:r>
              <w:rPr>
                <w:rFonts w:ascii="宋体" w:cs="宋体" w:eastAsia="宋体" w:hAnsi="宋体" w:hint="eastAsia"/>
                <w:kern w:val="0"/>
                <w:sz w:val="15"/>
                <w:szCs w:val="15"/>
                <w:lang w:eastAsia="zh-CN"/>
              </w:rPr>
              <w:t>10mm</w:t>
            </w:r>
          </w:p>
        </w:tc>
      </w:tr>
      <w:tr>
        <w:tblPrEx/>
        <w:trPr>
          <w:trHeight w:val="374" w:hRule="atLeast"/>
          <w:jc w:val="center"/>
        </w:trPr>
        <w:tc>
          <w:tcPr>
            <w:tcW w:w="7467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宋体" w:cs="华文中宋" w:hAnsi="宋体"/>
                <w:b/>
                <w:bCs/>
                <w:szCs w:val="28"/>
              </w:rPr>
            </w:pPr>
            <w:r>
              <w:rPr>
                <w:rFonts w:ascii="宋体" w:cs="华文中宋" w:hAnsi="宋体" w:hint="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cs="华文中宋" w:hAnsi="宋体"/>
                <w:b/>
                <w:bCs/>
                <w:szCs w:val="28"/>
              </w:rPr>
            </w:pPr>
            <w:r>
              <w:rPr>
                <w:rFonts w:ascii="宋体" w:cs="华文中宋" w:hAnsi="宋体" w:hint="eastAsia"/>
                <w:b/>
                <w:bCs/>
                <w:szCs w:val="28"/>
              </w:rPr>
              <w:t>数量</w:t>
            </w:r>
          </w:p>
        </w:tc>
      </w:tr>
      <w:tr>
        <w:tblPrEx/>
        <w:trPr>
          <w:jc w:val="center"/>
        </w:trPr>
        <w:tc>
          <w:tcPr>
            <w:tcW w:w="7467" w:type="dxa"/>
            <w:gridSpan w:val="2"/>
            <w:tcBorders/>
            <w:vAlign w:val="center"/>
          </w:tcPr>
          <w:p>
            <w:pPr>
              <w:pStyle w:val="style0"/>
              <w:spacing w:lineRule="auto" w:line="480"/>
              <w:jc w:val="left"/>
              <w:rPr>
                <w:rFonts w:ascii="宋体" w:cs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1、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包装盒</w:t>
            </w:r>
          </w:p>
        </w:tc>
        <w:tc>
          <w:tcPr>
            <w:tcW w:w="2201" w:type="dxa"/>
            <w:tcBorders/>
            <w:vAlign w:val="center"/>
          </w:tcPr>
          <w:p>
            <w:pPr>
              <w:pStyle w:val="style0"/>
              <w:spacing w:lineRule="auto" w:line="480"/>
              <w:jc w:val="left"/>
              <w:rPr>
                <w:rFonts w:ascii="宋体" w:cs="宋体" w:hAnsi="宋体"/>
                <w:sz w:val="24"/>
                <w:szCs w:val="24"/>
              </w:rPr>
            </w:pPr>
            <w:r>
              <w:rPr>
                <w:rFonts w:ascii="宋体" w:cs="宋体" w:hAnsi="宋体" w:hint="eastAsia"/>
                <w:sz w:val="24"/>
                <w:szCs w:val="24"/>
                <w:lang w:eastAsia="zh-CN"/>
              </w:rPr>
              <w:t>1个</w:t>
            </w:r>
          </w:p>
        </w:tc>
      </w:tr>
      <w:tr>
        <w:tblPrEx/>
        <w:trPr>
          <w:trHeight w:val="440" w:hRule="atLeast"/>
          <w:jc w:val="center"/>
        </w:trPr>
        <w:tc>
          <w:tcPr>
            <w:tcW w:w="7467" w:type="dxa"/>
            <w:gridSpan w:val="2"/>
            <w:tcBorders/>
            <w:vAlign w:val="center"/>
          </w:tcPr>
          <w:p>
            <w:pPr>
              <w:pStyle w:val="style0"/>
              <w:spacing w:lineRule="auto" w:line="480"/>
              <w:jc w:val="left"/>
              <w:rPr>
                <w:rFonts w:ascii="宋体" w:cs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2、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内窥镜保护帽</w:t>
            </w:r>
          </w:p>
        </w:tc>
        <w:tc>
          <w:tcPr>
            <w:tcW w:w="2201" w:type="dxa"/>
            <w:tcBorders/>
            <w:vAlign w:val="center"/>
          </w:tcPr>
          <w:p>
            <w:pPr>
              <w:pStyle w:val="style0"/>
              <w:spacing w:lineRule="auto" w:line="480"/>
              <w:jc w:val="left"/>
              <w:rPr>
                <w:rFonts w:ascii="宋体" w:cs="宋体" w:hAnsi="宋体"/>
                <w:sz w:val="24"/>
                <w:szCs w:val="24"/>
              </w:rPr>
            </w:pPr>
            <w:r>
              <w:rPr>
                <w:rFonts w:ascii="宋体" w:cs="宋体" w:hAnsi="宋体" w:hint="eastAsia"/>
                <w:sz w:val="24"/>
                <w:szCs w:val="24"/>
                <w:lang w:eastAsia="zh-CN"/>
              </w:rPr>
              <w:t>3个</w:t>
            </w:r>
          </w:p>
        </w:tc>
      </w:tr>
      <w:tr>
        <w:tblPrEx/>
        <w:trPr>
          <w:trHeight w:val="440" w:hRule="atLeast"/>
          <w:jc w:val="center"/>
        </w:trPr>
        <w:tc>
          <w:tcPr>
            <w:tcW w:w="7467" w:type="dxa"/>
            <w:gridSpan w:val="2"/>
            <w:tcBorders/>
            <w:vAlign w:val="center"/>
          </w:tcPr>
          <w:p>
            <w:pPr>
              <w:pStyle w:val="style0"/>
              <w:spacing w:lineRule="auto" w:line="480"/>
              <w:jc w:val="left"/>
              <w:rPr>
                <w:rFonts w:ascii="宋体" w:cs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3、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内窥镜保护套</w:t>
            </w:r>
          </w:p>
        </w:tc>
        <w:tc>
          <w:tcPr>
            <w:tcW w:w="2201" w:type="dxa"/>
            <w:tcBorders/>
            <w:vAlign w:val="center"/>
          </w:tcPr>
          <w:p>
            <w:pPr>
              <w:pStyle w:val="style0"/>
              <w:spacing w:lineRule="auto" w:line="480"/>
              <w:jc w:val="left"/>
              <w:rPr>
                <w:rFonts w:ascii="宋体" w:cs="宋体" w:hAnsi="宋体"/>
                <w:sz w:val="24"/>
                <w:szCs w:val="24"/>
              </w:rPr>
            </w:pPr>
            <w:r>
              <w:rPr>
                <w:rFonts w:ascii="宋体" w:cs="宋体" w:hAnsi="宋体" w:hint="eastAsia"/>
                <w:sz w:val="24"/>
                <w:szCs w:val="24"/>
              </w:rPr>
              <w:t>1</w:t>
            </w:r>
            <w:r>
              <w:rPr>
                <w:rFonts w:ascii="宋体" w:cs="宋体" w:hAnsi="宋体" w:hint="eastAsia"/>
                <w:sz w:val="24"/>
                <w:szCs w:val="24"/>
                <w:lang w:eastAsia="zh-CN"/>
              </w:rPr>
              <w:t>个</w:t>
            </w:r>
          </w:p>
        </w:tc>
      </w:tr>
      <w:tr>
        <w:tblPrEx/>
        <w:trPr>
          <w:trHeight w:val="440" w:hRule="atLeast"/>
          <w:jc w:val="center"/>
        </w:trPr>
        <w:tc>
          <w:tcPr>
            <w:tcW w:w="7467" w:type="dxa"/>
            <w:gridSpan w:val="2"/>
            <w:tcBorders/>
            <w:vAlign w:val="center"/>
          </w:tcPr>
          <w:p>
            <w:pPr>
              <w:pStyle w:val="style0"/>
              <w:spacing w:lineRule="auto" w:line="480"/>
              <w:jc w:val="left"/>
              <w:rPr>
                <w:rFonts w:ascii="宋体" w:cs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4、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内窥镜保护液</w:t>
            </w:r>
          </w:p>
        </w:tc>
        <w:tc>
          <w:tcPr>
            <w:tcW w:w="2201" w:type="dxa"/>
            <w:tcBorders/>
            <w:vAlign w:val="center"/>
          </w:tcPr>
          <w:p>
            <w:pPr>
              <w:pStyle w:val="style0"/>
              <w:spacing w:lineRule="auto" w:line="480"/>
              <w:jc w:val="left"/>
              <w:rPr>
                <w:rFonts w:ascii="宋体" w:cs="宋体" w:hAnsi="宋体"/>
                <w:sz w:val="24"/>
                <w:szCs w:val="24"/>
              </w:rPr>
            </w:pPr>
            <w:r>
              <w:rPr>
                <w:rFonts w:ascii="宋体" w:cs="宋体" w:hAnsi="宋体" w:hint="eastAsia"/>
                <w:sz w:val="24"/>
                <w:szCs w:val="24"/>
              </w:rPr>
              <w:t>1</w:t>
            </w:r>
            <w:r>
              <w:rPr>
                <w:rFonts w:ascii="宋体" w:cs="宋体" w:hAnsi="宋体" w:hint="eastAsia"/>
                <w:sz w:val="24"/>
                <w:szCs w:val="24"/>
                <w:lang w:eastAsia="zh-CN"/>
              </w:rPr>
              <w:t>支</w:t>
            </w:r>
          </w:p>
        </w:tc>
      </w:tr>
      <w:tr>
        <w:tblPrEx/>
        <w:trPr>
          <w:trHeight w:val="440" w:hRule="atLeast"/>
          <w:jc w:val="center"/>
        </w:trPr>
        <w:tc>
          <w:tcPr>
            <w:tcW w:w="7467" w:type="dxa"/>
            <w:gridSpan w:val="2"/>
            <w:tcBorders/>
            <w:vAlign w:val="center"/>
          </w:tcPr>
          <w:p>
            <w:pPr>
              <w:pStyle w:val="style0"/>
              <w:spacing w:lineRule="auto" w:line="480"/>
              <w:jc w:val="left"/>
              <w:rPr>
                <w:rFonts w:ascii="宋体" w:cs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5、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说明书</w:t>
            </w:r>
          </w:p>
        </w:tc>
        <w:tc>
          <w:tcPr>
            <w:tcW w:w="2201" w:type="dxa"/>
            <w:tcBorders/>
            <w:vAlign w:val="center"/>
          </w:tcPr>
          <w:p>
            <w:pPr>
              <w:pStyle w:val="style0"/>
              <w:spacing w:lineRule="auto" w:line="480"/>
              <w:jc w:val="left"/>
              <w:rPr>
                <w:rFonts w:ascii="宋体" w:cs="宋体" w:hAnsi="宋体"/>
                <w:sz w:val="24"/>
                <w:szCs w:val="24"/>
              </w:rPr>
            </w:pPr>
            <w:r>
              <w:rPr>
                <w:rFonts w:ascii="宋体" w:cs="宋体" w:hAnsi="宋体" w:hint="eastAsia"/>
                <w:sz w:val="24"/>
                <w:szCs w:val="24"/>
              </w:rPr>
              <w:t>1</w:t>
            </w:r>
            <w:r>
              <w:rPr>
                <w:rFonts w:ascii="宋体" w:cs="宋体" w:hAnsi="宋体" w:hint="eastAsia"/>
                <w:sz w:val="24"/>
                <w:szCs w:val="24"/>
                <w:lang w:eastAsia="zh-CN"/>
              </w:rPr>
              <w:t>本</w:t>
            </w:r>
          </w:p>
        </w:tc>
      </w:tr>
      <w:tr>
        <w:tblPrEx/>
        <w:trPr>
          <w:trHeight w:val="1180" w:hRule="atLeast"/>
          <w:jc w:val="center"/>
        </w:trPr>
        <w:tc>
          <w:tcPr>
            <w:tcW w:w="9668" w:type="dxa"/>
            <w:gridSpan w:val="3"/>
            <w:tcBorders/>
            <w:vAlign w:val="center"/>
          </w:tcPr>
          <w:p>
            <w:pPr>
              <w:pStyle w:val="style0"/>
              <w:rPr>
                <w:rFonts w:ascii="仿宋" w:cs="仿宋" w:eastAsia="仿宋" w:hAnsi="仿宋"/>
                <w:b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>
            <w:pPr>
              <w:pStyle w:val="style0"/>
              <w:ind w:firstLine="843" w:firstLineChars="350"/>
              <w:rPr>
                <w:rFonts w:ascii="仿宋" w:cs="仿宋" w:eastAsia="仿宋" w:hAnsi="仿宋"/>
                <w:b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>
            <w:pPr>
              <w:pStyle w:val="style0"/>
              <w:ind w:firstLine="843" w:firstLineChars="350"/>
              <w:rPr>
                <w:rFonts w:ascii="仿宋" w:cs="仿宋" w:eastAsia="仿宋" w:hAnsi="仿宋"/>
                <w:b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b/>
                <w:sz w:val="24"/>
                <w:szCs w:val="24"/>
              </w:rPr>
              <w:t>3、其他项目为一般指标，若出现五项及以上负偏离，则视为废标</w:t>
            </w:r>
          </w:p>
          <w:p>
            <w:pPr>
              <w:pStyle w:val="style0"/>
              <w:ind w:firstLine="843" w:firstLineChars="350"/>
              <w:rPr>
                <w:rFonts w:ascii="楷体_GB2312" w:eastAsia="楷体_GB2312" w:hAnsi="宋体"/>
                <w:b/>
                <w:sz w:val="36"/>
                <w:szCs w:val="36"/>
              </w:rPr>
            </w:pPr>
            <w:r>
              <w:rPr>
                <w:rFonts w:ascii="仿宋" w:cs="仿宋" w:eastAsia="仿宋" w:hAnsi="仿宋" w:hint="eastAsia"/>
                <w:b/>
                <w:sz w:val="24"/>
                <w:szCs w:val="24"/>
              </w:rPr>
              <w:t>4、</w:t>
            </w:r>
            <w:r>
              <w:rPr>
                <w:rFonts w:ascii="仿宋" w:cs="仿宋" w:eastAsia="仿宋" w:hAnsi="仿宋" w:hint="eastAsia"/>
                <w:b/>
                <w:color w:val="0000ff"/>
                <w:sz w:val="24"/>
                <w:szCs w:val="24"/>
              </w:rPr>
              <w:t>论证专家组应不少于3人，使用科室1人，相关科室专家不少于2人(可邀请院外相关领域专家)</w:t>
            </w:r>
          </w:p>
        </w:tc>
      </w:tr>
    </w:tbl>
    <w:p>
      <w:pPr>
        <w:pStyle w:val="style0"/>
        <w:spacing w:lineRule="auto" w:line="300"/>
        <w:rPr>
          <w:rFonts w:ascii="华文中宋" w:cs="华文中宋" w:eastAsia="华文中宋" w:hAnsi="华文中宋"/>
          <w:bCs/>
          <w:sz w:val="30"/>
          <w:szCs w:val="30"/>
        </w:rPr>
      </w:pPr>
      <w:r>
        <w:rPr>
          <w:rFonts w:ascii="楷体_GB2312" w:eastAsia="楷体_GB2312" w:hAnsi="宋体" w:hint="eastAsia"/>
          <w:b/>
          <w:szCs w:val="28"/>
        </w:rPr>
        <w:t xml:space="preserve">     </w:t>
      </w:r>
      <w:r>
        <w:rPr>
          <w:rFonts w:ascii="华文中宋" w:cs="华文中宋" w:eastAsia="华文中宋" w:hAnsi="华文中宋" w:hint="eastAsia"/>
          <w:bCs/>
          <w:sz w:val="30"/>
          <w:szCs w:val="30"/>
        </w:rPr>
        <w:t xml:space="preserve"> </w:t>
      </w:r>
    </w:p>
    <w:p>
      <w:pPr>
        <w:pStyle w:val="style0"/>
        <w:spacing w:lineRule="auto" w:line="300"/>
        <w:ind w:firstLine="904" w:firstLineChars="300"/>
        <w:rPr>
          <w:rFonts w:ascii="宋体" w:cs="华文中宋" w:hAnsi="宋体"/>
          <w:b/>
          <w:bCs/>
          <w:sz w:val="30"/>
          <w:szCs w:val="30"/>
          <w:u w:val="single"/>
        </w:rPr>
      </w:pPr>
      <w:r>
        <w:rPr>
          <w:rFonts w:ascii="宋体" w:hAnsi="宋体"/>
          <w:b/>
          <w:sz w:val="30"/>
        </w:rPr>
        <w:pict>
          <v:line id="1026" stroked="t" from="155.3pt,23.9pt" to="284.5pt,23.949999pt" style="position:absolute;z-index:2;mso-position-horizontal-relative:text;mso-position-vertical-relative:text;mso-width-relative:page;mso-height-relative:page;mso-wrap-distance-left:0.0pt;mso-wrap-distance-right:0.0pt;visibility:visible;">
            <v:fill/>
            <v:path arrowok="t"/>
          </v:line>
        </w:pict>
      </w:r>
      <w:r>
        <w:rPr>
          <w:rFonts w:ascii="宋体" w:cs="华文中宋" w:hAnsi="宋体" w:hint="eastAsia"/>
          <w:b/>
          <w:bCs/>
          <w:sz w:val="30"/>
          <w:szCs w:val="30"/>
        </w:rPr>
        <w:t>科室主任签字：</w:t>
      </w:r>
      <w:r>
        <w:rPr>
          <w:rFonts w:ascii="宋体" w:cs="华文中宋" w:hAnsi="宋体" w:hint="eastAsia"/>
          <w:b/>
          <w:bCs/>
          <w:sz w:val="30"/>
          <w:szCs w:val="30"/>
          <w:u w:val="single"/>
        </w:rPr>
        <w:t xml:space="preserve"> </w:t>
      </w:r>
    </w:p>
    <w:p>
      <w:pPr>
        <w:pStyle w:val="style0"/>
        <w:spacing w:lineRule="auto" w:line="300"/>
        <w:ind w:firstLine="904" w:firstLineChars="300"/>
        <w:rPr>
          <w:rFonts w:ascii="宋体" w:cs="华文中宋" w:hAnsi="宋体"/>
          <w:b/>
          <w:bCs/>
          <w:sz w:val="30"/>
          <w:szCs w:val="30"/>
          <w:u w:val="single"/>
        </w:rPr>
      </w:pPr>
    </w:p>
    <w:p>
      <w:pPr>
        <w:pStyle w:val="style0"/>
        <w:spacing w:lineRule="auto" w:line="300"/>
        <w:ind w:firstLine="904" w:firstLineChars="300"/>
        <w:rPr>
          <w:rFonts w:ascii="华文中宋" w:cs="华文中宋" w:eastAsia="华文中宋" w:hAnsi="华文中宋"/>
          <w:bCs/>
          <w:sz w:val="30"/>
          <w:szCs w:val="30"/>
          <w:u w:val="single"/>
        </w:rPr>
      </w:pPr>
      <w:r>
        <w:rPr>
          <w:rFonts w:ascii="宋体" w:hAnsi="宋体"/>
          <w:b/>
          <w:sz w:val="30"/>
        </w:rPr>
        <w:pict>
          <v:line id="1027" stroked="t" from="164.5pt,23.25pt" to="457.8pt,23.3pt" style="position:absolute;z-index:3;mso-position-horizontal-relative:text;mso-position-vertical-relative:text;mso-width-relative:page;mso-height-relative:page;mso-wrap-distance-left:0.0pt;mso-wrap-distance-right:0.0pt;visibility:visible;">
            <v:fill/>
            <v:path arrowok="t"/>
          </v:line>
        </w:pict>
      </w:r>
      <w:r>
        <w:rPr>
          <w:rFonts w:ascii="宋体" w:cs="华文中宋" w:hAnsi="宋体" w:hint="eastAsia"/>
          <w:b/>
          <w:bCs/>
          <w:sz w:val="30"/>
          <w:szCs w:val="30"/>
        </w:rPr>
        <w:t>论证专家组签字：</w:t>
      </w:r>
      <w:r>
        <w:rPr>
          <w:rFonts w:ascii="华文中宋" w:cs="华文中宋" w:eastAsia="华文中宋" w:hAnsi="华文中宋" w:hint="eastAsia"/>
          <w:bCs/>
          <w:sz w:val="30"/>
          <w:szCs w:val="30"/>
          <w:u w:val="single"/>
        </w:rPr>
        <w:t xml:space="preserve"> </w:t>
      </w:r>
    </w:p>
    <w:p>
      <w:pPr>
        <w:pStyle w:val="style0"/>
        <w:rPr/>
      </w:pPr>
    </w:p>
    <w:p>
      <w:pPr>
        <w:pStyle w:val="style0"/>
        <w:ind w:firstLine="7027" w:firstLineChars="2500"/>
        <w:rPr>
          <w:b/>
        </w:rPr>
      </w:pPr>
    </w:p>
    <w:bookmarkStart w:id="0" w:name="_GoBack"/>
    <w:bookmarkEnd w:id="0"/>
    <w:p>
      <w:pPr>
        <w:pStyle w:val="style0"/>
        <w:ind w:firstLine="7027" w:firstLineChars="2500"/>
        <w:rPr>
          <w:b/>
        </w:rPr>
      </w:pPr>
      <w:r>
        <w:rPr>
          <w:rFonts w:hint="eastAsia"/>
          <w:b/>
        </w:rPr>
        <w:t>年    月    日</w:t>
      </w:r>
    </w:p>
    <w:sectPr>
      <w:pgSz w:w="11906" w:h="16838" w:orient="portrait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0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0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000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0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0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hakuyoxingshu7000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">
    <w:altName w:val="仿宋"/>
    <w:panose1 w:val="02010609060000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hakuyoxingshu7000">
    <w:altName w:val="hakuyoxingshu7000"/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楷体">
    <w:altName w:val="楷体"/>
    <w:panose1 w:val="02010609060000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doNotDisplayPageBoundaries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8"/>
      <w:szCs w:val="22"/>
      <w:lang w:val="en-US" w:bidi="ar-SA" w:eastAsia="zh-CN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2">
    <w:name w:val="footer"/>
    <w:basedOn w:val="style0"/>
    <w:next w:val="style32"/>
    <w:link w:val="style4098"/>
    <w:qFormat/>
    <w:uiPriority w:val="0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31">
    <w:name w:val="header"/>
    <w:basedOn w:val="style0"/>
    <w:next w:val="style31"/>
    <w:link w:val="style4097"/>
    <w:uiPriority w:val="0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paragraph" w:styleId="style94">
    <w:name w:val="Normal (Web)"/>
    <w:basedOn w:val="style0"/>
    <w:next w:val="style94"/>
    <w:qFormat/>
    <w:uiPriority w:val="0"/>
    <w:pPr>
      <w:spacing w:beforeAutospacing="true" w:afterAutospacing="true"/>
      <w:jc w:val="left"/>
    </w:pPr>
    <w:rPr>
      <w:rFonts w:cs="Times New Roman"/>
      <w:kern w:val="0"/>
      <w:sz w:val="24"/>
    </w:rPr>
  </w:style>
  <w:style w:type="character" w:styleId="style87">
    <w:name w:val="Strong"/>
    <w:basedOn w:val="style65"/>
    <w:next w:val="style87"/>
    <w:qFormat/>
    <w:uiPriority w:val="0"/>
    <w:rPr>
      <w:b/>
    </w:rPr>
  </w:style>
  <w:style w:type="character" w:customStyle="1" w:styleId="style4097">
    <w:name w:val="页眉 Char"/>
    <w:basedOn w:val="style65"/>
    <w:next w:val="style4097"/>
    <w:link w:val="style31"/>
    <w:uiPriority w:val="0"/>
    <w:rPr>
      <w:rFonts w:ascii="Calibri" w:cs="宋体" w:eastAsia="宋体" w:hAnsi="Calibri"/>
      <w:kern w:val="2"/>
      <w:sz w:val="18"/>
      <w:szCs w:val="18"/>
    </w:rPr>
  </w:style>
  <w:style w:type="character" w:customStyle="1" w:styleId="style4098">
    <w:name w:val="页脚 Char"/>
    <w:basedOn w:val="style65"/>
    <w:next w:val="style4098"/>
    <w:link w:val="style32"/>
    <w:qFormat/>
    <w:uiPriority w:val="0"/>
    <w:rPr>
      <w:rFonts w:ascii="Calibri" w:cs="宋体" w:eastAsia="宋体" w:hAnsi="Calibri"/>
      <w:kern w:val="2"/>
      <w:sz w:val="18"/>
      <w:szCs w:val="18"/>
    </w:rPr>
  </w:style>
  <w:style w:type="paragraph" w:styleId="style179">
    <w:name w:val="List Paragraph"/>
    <w:basedOn w:val="style0"/>
    <w:next w:val="style179"/>
    <w:qFormat/>
    <w:uiPriority w:val="99"/>
    <w:pPr>
      <w:ind w:firstLine="420" w:firstLineChars="200"/>
    </w:pPr>
    <w:rPr/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Words>439</Words>
  <Pages>2</Pages>
  <Characters>467</Characters>
  <Application>WPS Office</Application>
  <DocSecurity>0</DocSecurity>
  <Paragraphs>48</Paragraphs>
  <ScaleCrop>false</ScaleCrop>
  <LinksUpToDate>false</LinksUpToDate>
  <CharactersWithSpaces>500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2018-08-14T01:07:00Z</dcterms:created>
  <dc:creator>Administrator</dc:creator>
  <lastModifiedBy>RNE-AL00</lastModifiedBy>
  <lastPrinted>2018-08-14T01:07:00Z</lastPrinted>
  <dcterms:modified xsi:type="dcterms:W3CDTF">2018-08-21T01:09:45Z</dcterms:modified>
  <revision>6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